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21" w:rsidRDefault="008D2A4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drawing>
          <wp:inline distT="0" distB="0" distL="0" distR="0">
            <wp:extent cx="1485900" cy="533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721" w:rsidRDefault="003B1721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3B1721" w:rsidRDefault="003B1721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ABOUT BHL</w:t>
      </w:r>
    </w:p>
    <w:p w:rsidR="003B1721" w:rsidRDefault="003B172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The Biodiversity Heritage Library (BHL) was formed in 2006 as a consortium of (then) ten natural history and botanical garden libraries with the purpose of digitizing key taxonomic literature in an open environment. With the Encyclopedia of Life (EOL)</w:t>
      </w:r>
      <w:r w:rsidR="00755E5B">
        <w:rPr>
          <w:rFonts w:ascii="Times New Roman" w:hAnsi="Times New Roman"/>
          <w:sz w:val="20"/>
          <w:szCs w:val="20"/>
        </w:rPr>
        <w:t xml:space="preserve">, BHL received MacArthur funding </w:t>
      </w:r>
      <w:r>
        <w:rPr>
          <w:rFonts w:ascii="Times New Roman" w:hAnsi="Times New Roman"/>
          <w:sz w:val="20"/>
          <w:szCs w:val="20"/>
        </w:rPr>
        <w:t>in 2007.</w:t>
      </w:r>
      <w:r w:rsidR="000816A7">
        <w:rPr>
          <w:rFonts w:ascii="Times New Roman" w:hAnsi="Times New Roman"/>
          <w:sz w:val="20"/>
          <w:szCs w:val="20"/>
        </w:rPr>
        <w:t xml:space="preserve"> </w:t>
      </w:r>
      <w:r w:rsidR="000816A7" w:rsidRPr="000816A7">
        <w:rPr>
          <w:rFonts w:ascii="Times New Roman" w:hAnsi="Times New Roman"/>
          <w:i/>
          <w:sz w:val="20"/>
          <w:szCs w:val="20"/>
        </w:rPr>
        <w:t xml:space="preserve">All content is freely </w:t>
      </w:r>
      <w:r w:rsidR="000816A7">
        <w:rPr>
          <w:rFonts w:ascii="Times New Roman" w:hAnsi="Times New Roman"/>
          <w:i/>
          <w:sz w:val="20"/>
          <w:szCs w:val="20"/>
        </w:rPr>
        <w:t xml:space="preserve">and openly </w:t>
      </w:r>
      <w:r w:rsidR="000816A7" w:rsidRPr="000816A7">
        <w:rPr>
          <w:rFonts w:ascii="Times New Roman" w:hAnsi="Times New Roman"/>
          <w:i/>
          <w:sz w:val="20"/>
          <w:szCs w:val="20"/>
        </w:rPr>
        <w:t>available to the world</w:t>
      </w:r>
      <w:r w:rsidR="000816A7">
        <w:rPr>
          <w:rFonts w:ascii="Times New Roman" w:hAnsi="Times New Roman"/>
          <w:sz w:val="20"/>
          <w:szCs w:val="20"/>
        </w:rPr>
        <w:t>.</w:t>
      </w:r>
      <w:r w:rsidR="00A87CF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The BHL Secretariat is based at the Smithsonian Libraries (Washington, DC). </w:t>
      </w:r>
    </w:p>
    <w:p w:rsidR="001414D3" w:rsidRDefault="001414D3">
      <w:pPr>
        <w:pStyle w:val="NoSpacing"/>
        <w:rPr>
          <w:rFonts w:ascii="Times New Roman" w:hAnsi="Times New Roman"/>
          <w:sz w:val="20"/>
          <w:szCs w:val="20"/>
        </w:rPr>
      </w:pPr>
    </w:p>
    <w:p w:rsidR="001414D3" w:rsidRPr="00D92A3A" w:rsidRDefault="00D92A3A">
      <w:pPr>
        <w:pStyle w:val="NoSpacing"/>
        <w:rPr>
          <w:rFonts w:ascii="Times New Roman" w:hAnsi="Times New Roman"/>
          <w:b/>
          <w:sz w:val="20"/>
          <w:szCs w:val="20"/>
        </w:rPr>
      </w:pPr>
      <w:r w:rsidRPr="00D92A3A">
        <w:rPr>
          <w:rFonts w:ascii="Times New Roman" w:hAnsi="Times New Roman"/>
          <w:b/>
          <w:sz w:val="20"/>
          <w:szCs w:val="20"/>
        </w:rPr>
        <w:t>FROM OUR USERS</w:t>
      </w:r>
    </w:p>
    <w:p w:rsidR="00D92A3A" w:rsidRPr="00D92A3A" w:rsidRDefault="001414D3" w:rsidP="001414D3">
      <w:pPr>
        <w:pStyle w:val="NoSpacing"/>
        <w:numPr>
          <w:ilvl w:val="0"/>
          <w:numId w:val="8"/>
        </w:numPr>
        <w:rPr>
          <w:rFonts w:ascii="Times New Roman" w:hAnsi="Times New Roman"/>
          <w:i/>
          <w:sz w:val="20"/>
          <w:szCs w:val="20"/>
        </w:rPr>
      </w:pPr>
      <w:r w:rsidRPr="00D92A3A">
        <w:rPr>
          <w:rFonts w:ascii="Times New Roman" w:hAnsi="Times New Roman"/>
          <w:sz w:val="20"/>
          <w:szCs w:val="20"/>
        </w:rPr>
        <w:t>Just wanted to say thanks for a great service. I was looking for an obscure reference about development of scorpion fishes and I was able to find the exact bit I needed on your site</w:t>
      </w:r>
      <w:r w:rsidR="00D92A3A">
        <w:rPr>
          <w:rFonts w:ascii="Times New Roman" w:hAnsi="Times New Roman"/>
          <w:sz w:val="20"/>
          <w:szCs w:val="20"/>
        </w:rPr>
        <w:t xml:space="preserve"> </w:t>
      </w:r>
      <w:r w:rsidRPr="00D92A3A">
        <w:rPr>
          <w:rFonts w:ascii="Times New Roman" w:hAnsi="Times New Roman"/>
          <w:i/>
          <w:sz w:val="20"/>
          <w:szCs w:val="20"/>
        </w:rPr>
        <w:t>(A researcher in Georgia)</w:t>
      </w:r>
    </w:p>
    <w:p w:rsidR="00D92A3A" w:rsidRDefault="001414D3" w:rsidP="001414D3">
      <w:pPr>
        <w:pStyle w:val="NoSpacing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D92A3A">
        <w:rPr>
          <w:rFonts w:ascii="Times New Roman" w:hAnsi="Times New Roman"/>
          <w:sz w:val="20"/>
          <w:szCs w:val="20"/>
        </w:rPr>
        <w:t>Thanks so</w:t>
      </w:r>
      <w:r w:rsidR="00EA2039">
        <w:rPr>
          <w:rFonts w:ascii="Times New Roman" w:hAnsi="Times New Roman"/>
          <w:sz w:val="20"/>
          <w:szCs w:val="20"/>
        </w:rPr>
        <w:t xml:space="preserve"> much for pointing out this on Flickr</w:t>
      </w:r>
      <w:r w:rsidRPr="00D92A3A">
        <w:rPr>
          <w:rFonts w:ascii="Times New Roman" w:hAnsi="Times New Roman"/>
          <w:sz w:val="20"/>
          <w:szCs w:val="20"/>
        </w:rPr>
        <w:t xml:space="preserve">!! I've been looking for old botanical and zoological images to play with and now I know a good place to </w:t>
      </w:r>
      <w:r w:rsidRPr="00D92A3A">
        <w:rPr>
          <w:rFonts w:ascii="Times New Roman" w:hAnsi="Times New Roman"/>
          <w:i/>
          <w:sz w:val="20"/>
          <w:szCs w:val="20"/>
        </w:rPr>
        <w:t>go (via Twitter)</w:t>
      </w:r>
    </w:p>
    <w:p w:rsidR="001414D3" w:rsidRPr="00D92A3A" w:rsidRDefault="001414D3" w:rsidP="001414D3">
      <w:pPr>
        <w:pStyle w:val="NoSpacing"/>
        <w:numPr>
          <w:ilvl w:val="0"/>
          <w:numId w:val="8"/>
        </w:numPr>
        <w:rPr>
          <w:rFonts w:ascii="Times New Roman" w:hAnsi="Times New Roman"/>
          <w:i/>
          <w:sz w:val="20"/>
          <w:szCs w:val="20"/>
        </w:rPr>
      </w:pPr>
      <w:r w:rsidRPr="00D92A3A">
        <w:rPr>
          <w:rFonts w:ascii="Times New Roman" w:hAnsi="Times New Roman"/>
          <w:sz w:val="20"/>
          <w:szCs w:val="20"/>
        </w:rPr>
        <w:t xml:space="preserve">This is a tremendous and extremely valuable resource. I work on the taxonomy and systematics of </w:t>
      </w:r>
      <w:r w:rsidR="00D92A3A" w:rsidRPr="00D92A3A">
        <w:rPr>
          <w:rFonts w:ascii="Times New Roman" w:hAnsi="Times New Roman"/>
          <w:sz w:val="20"/>
          <w:szCs w:val="20"/>
        </w:rPr>
        <w:t>mollusks</w:t>
      </w:r>
      <w:r w:rsidRPr="00D92A3A">
        <w:rPr>
          <w:rFonts w:ascii="Times New Roman" w:hAnsi="Times New Roman"/>
          <w:sz w:val="20"/>
          <w:szCs w:val="20"/>
        </w:rPr>
        <w:t xml:space="preserve"> and frequently need to refer to the older literature. Before the advent of the internet and the BHL, this was usually a very frustrating task</w:t>
      </w:r>
      <w:r w:rsidR="00D92A3A">
        <w:rPr>
          <w:rFonts w:ascii="Times New Roman" w:hAnsi="Times New Roman"/>
          <w:sz w:val="20"/>
          <w:szCs w:val="20"/>
        </w:rPr>
        <w:t xml:space="preserve"> </w:t>
      </w:r>
      <w:r w:rsidRPr="00D92A3A">
        <w:rPr>
          <w:rFonts w:ascii="Times New Roman" w:hAnsi="Times New Roman"/>
          <w:i/>
          <w:sz w:val="20"/>
          <w:szCs w:val="20"/>
        </w:rPr>
        <w:t xml:space="preserve"> (a researcher in South Africa)</w:t>
      </w:r>
    </w:p>
    <w:p w:rsidR="001414D3" w:rsidRDefault="001414D3">
      <w:pPr>
        <w:pStyle w:val="NoSpacing"/>
        <w:rPr>
          <w:rFonts w:ascii="Times New Roman" w:hAnsi="Times New Roman"/>
          <w:sz w:val="20"/>
          <w:szCs w:val="20"/>
        </w:rPr>
      </w:pPr>
    </w:p>
    <w:p w:rsidR="001414D3" w:rsidRPr="000816A7" w:rsidRDefault="001414D3" w:rsidP="001414D3">
      <w:pPr>
        <w:pStyle w:val="NoSpacing"/>
        <w:rPr>
          <w:rFonts w:ascii="Times New Roman" w:hAnsi="Times New Roman"/>
          <w:b/>
          <w:sz w:val="20"/>
          <w:szCs w:val="20"/>
        </w:rPr>
      </w:pPr>
      <w:r w:rsidRPr="000816A7">
        <w:rPr>
          <w:rFonts w:ascii="Times New Roman" w:hAnsi="Times New Roman"/>
          <w:b/>
          <w:sz w:val="20"/>
          <w:szCs w:val="20"/>
        </w:rPr>
        <w:t>USERS (CY 2012)</w:t>
      </w:r>
    </w:p>
    <w:p w:rsidR="001414D3" w:rsidRDefault="001414D3" w:rsidP="001414D3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53,750 unique visitors per month </w:t>
      </w:r>
    </w:p>
    <w:p w:rsidR="001414D3" w:rsidRDefault="001414D3" w:rsidP="001414D3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111,000 visits per month</w:t>
      </w:r>
    </w:p>
    <w:p w:rsidR="001414D3" w:rsidRDefault="001414D3" w:rsidP="001414D3">
      <w:pPr>
        <w:pStyle w:val="NoSpacing"/>
        <w:rPr>
          <w:rFonts w:ascii="Times New Roman" w:hAnsi="Times New Roman"/>
          <w:sz w:val="20"/>
          <w:szCs w:val="20"/>
        </w:rPr>
      </w:pPr>
    </w:p>
    <w:p w:rsidR="00755E5B" w:rsidRPr="000816A7" w:rsidRDefault="00755E5B">
      <w:pPr>
        <w:pStyle w:val="NoSpacing"/>
        <w:rPr>
          <w:rFonts w:ascii="Times New Roman" w:hAnsi="Times New Roman"/>
          <w:b/>
          <w:sz w:val="20"/>
          <w:szCs w:val="20"/>
        </w:rPr>
      </w:pPr>
      <w:r w:rsidRPr="000816A7">
        <w:rPr>
          <w:rFonts w:ascii="Times New Roman" w:hAnsi="Times New Roman"/>
          <w:b/>
          <w:sz w:val="20"/>
          <w:szCs w:val="20"/>
        </w:rPr>
        <w:t>CONTENT</w:t>
      </w:r>
      <w:r w:rsidR="000816A7" w:rsidRPr="000816A7">
        <w:rPr>
          <w:rFonts w:ascii="Times New Roman" w:hAnsi="Times New Roman"/>
          <w:b/>
          <w:sz w:val="20"/>
          <w:szCs w:val="20"/>
        </w:rPr>
        <w:t xml:space="preserve"> (January 2013)</w:t>
      </w:r>
    </w:p>
    <w:p w:rsidR="000816A7" w:rsidRPr="00D92A3A" w:rsidRDefault="000816A7" w:rsidP="000816A7">
      <w:pPr>
        <w:pStyle w:val="NoSpacing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D92A3A">
        <w:rPr>
          <w:rFonts w:ascii="Times New Roman" w:hAnsi="Times New Roman"/>
          <w:sz w:val="20"/>
          <w:szCs w:val="20"/>
        </w:rPr>
        <w:t>110,204 volumes online</w:t>
      </w:r>
      <w:r w:rsidR="00D92A3A" w:rsidRPr="00D92A3A">
        <w:rPr>
          <w:rFonts w:ascii="Times New Roman" w:hAnsi="Times New Roman"/>
          <w:sz w:val="20"/>
          <w:szCs w:val="20"/>
        </w:rPr>
        <w:t xml:space="preserve"> | </w:t>
      </w:r>
      <w:r w:rsidRPr="00D92A3A">
        <w:rPr>
          <w:rFonts w:ascii="Times New Roman" w:hAnsi="Times New Roman"/>
          <w:sz w:val="20"/>
          <w:szCs w:val="20"/>
        </w:rPr>
        <w:t>40 million pages</w:t>
      </w:r>
      <w:r w:rsidR="00D92A3A">
        <w:rPr>
          <w:rFonts w:ascii="Times New Roman" w:hAnsi="Times New Roman"/>
          <w:sz w:val="20"/>
          <w:szCs w:val="20"/>
        </w:rPr>
        <w:t xml:space="preserve"> | 57,701 titles</w:t>
      </w:r>
    </w:p>
    <w:p w:rsidR="000816A7" w:rsidRDefault="000816A7" w:rsidP="000816A7">
      <w:pPr>
        <w:pStyle w:val="NoSpacing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Growth rate of approximately 1,500 volumes per month</w:t>
      </w:r>
    </w:p>
    <w:p w:rsidR="000816A7" w:rsidRDefault="00D92A3A" w:rsidP="000816A7">
      <w:pPr>
        <w:pStyle w:val="NoSpacing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~</w:t>
      </w:r>
      <w:r w:rsidR="000816A7">
        <w:rPr>
          <w:rFonts w:ascii="Times New Roman" w:hAnsi="Times New Roman"/>
          <w:sz w:val="20"/>
          <w:szCs w:val="20"/>
        </w:rPr>
        <w:t>30% of the public domain biodiversity literature now available</w:t>
      </w:r>
    </w:p>
    <w:p w:rsidR="000816A7" w:rsidRDefault="000816A7" w:rsidP="000816A7">
      <w:pPr>
        <w:pStyle w:val="NoSpacing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Agreements with over 250 publishers to provide access to in copyright materials</w:t>
      </w:r>
    </w:p>
    <w:p w:rsidR="000816A7" w:rsidRDefault="001414D3" w:rsidP="000816A7">
      <w:pPr>
        <w:pStyle w:val="NoSpacing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~15% of total (including in copyright) biodiversity literature</w:t>
      </w:r>
      <w:r w:rsidR="00D92A3A">
        <w:rPr>
          <w:rFonts w:ascii="Times New Roman" w:hAnsi="Times New Roman"/>
          <w:sz w:val="20"/>
          <w:szCs w:val="20"/>
        </w:rPr>
        <w:t xml:space="preserve"> now available</w:t>
      </w:r>
    </w:p>
    <w:p w:rsidR="000816A7" w:rsidRDefault="000816A7">
      <w:pPr>
        <w:pStyle w:val="NoSpacing"/>
        <w:rPr>
          <w:rFonts w:ascii="Times New Roman" w:hAnsi="Times New Roman"/>
          <w:sz w:val="20"/>
          <w:szCs w:val="20"/>
        </w:rPr>
      </w:pPr>
    </w:p>
    <w:p w:rsidR="00755E5B" w:rsidRPr="001414D3" w:rsidRDefault="00755E5B">
      <w:pPr>
        <w:pStyle w:val="NoSpacing"/>
        <w:rPr>
          <w:rFonts w:ascii="Times New Roman" w:hAnsi="Times New Roman"/>
          <w:b/>
          <w:sz w:val="20"/>
          <w:szCs w:val="20"/>
        </w:rPr>
      </w:pPr>
      <w:r w:rsidRPr="001414D3">
        <w:rPr>
          <w:rFonts w:ascii="Times New Roman" w:hAnsi="Times New Roman"/>
          <w:b/>
          <w:sz w:val="20"/>
          <w:szCs w:val="20"/>
        </w:rPr>
        <w:t>NEW DIRECTIONS</w:t>
      </w:r>
    </w:p>
    <w:p w:rsidR="007655D8" w:rsidRDefault="001414D3" w:rsidP="007655D8">
      <w:pPr>
        <w:pStyle w:val="NoSpacing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Flickr. Over 60,000+ plant and animal illustrations now available</w:t>
      </w:r>
    </w:p>
    <w:p w:rsidR="001414D3" w:rsidRDefault="001414D3" w:rsidP="007655D8">
      <w:pPr>
        <w:pStyle w:val="NoSpacing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iTunes University. A growing collection of themed content (extinct species, Charles Darwin) available for download via iTunes</w:t>
      </w:r>
    </w:p>
    <w:p w:rsidR="00755E5B" w:rsidRDefault="00755E5B">
      <w:pPr>
        <w:pStyle w:val="NoSpacing"/>
        <w:rPr>
          <w:rFonts w:ascii="Times New Roman" w:hAnsi="Times New Roman"/>
          <w:sz w:val="20"/>
          <w:szCs w:val="20"/>
        </w:rPr>
      </w:pPr>
    </w:p>
    <w:p w:rsidR="001414D3" w:rsidRPr="00755E5B" w:rsidRDefault="001414D3" w:rsidP="001414D3">
      <w:pPr>
        <w:pStyle w:val="NoSpacing"/>
        <w:rPr>
          <w:rFonts w:ascii="Times New Roman" w:hAnsi="Times New Roman"/>
          <w:b/>
          <w:sz w:val="20"/>
          <w:szCs w:val="20"/>
        </w:rPr>
      </w:pPr>
      <w:r w:rsidRPr="00755E5B">
        <w:rPr>
          <w:rFonts w:ascii="Times New Roman" w:hAnsi="Times New Roman"/>
          <w:b/>
          <w:sz w:val="20"/>
          <w:szCs w:val="20"/>
        </w:rPr>
        <w:t>FUNDING</w:t>
      </w:r>
    </w:p>
    <w:p w:rsidR="001414D3" w:rsidRDefault="001414D3" w:rsidP="001414D3">
      <w:pPr>
        <w:pStyle w:val="NoSpacing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755E5B">
        <w:rPr>
          <w:rFonts w:ascii="Times New Roman" w:hAnsi="Times New Roman"/>
          <w:b/>
          <w:sz w:val="20"/>
          <w:szCs w:val="20"/>
        </w:rPr>
        <w:t>$120,000 / year</w:t>
      </w:r>
      <w:r>
        <w:rPr>
          <w:rFonts w:ascii="Times New Roman" w:hAnsi="Times New Roman"/>
          <w:sz w:val="20"/>
          <w:szCs w:val="20"/>
        </w:rPr>
        <w:t>. Membership dues from institutions participating in BHL at the Steering Committee level ($10,000 per institution, 12 institutions participating at this level)</w:t>
      </w:r>
    </w:p>
    <w:p w:rsidR="001414D3" w:rsidRDefault="001414D3" w:rsidP="001414D3">
      <w:pPr>
        <w:pStyle w:val="NoSpacing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755E5B">
        <w:rPr>
          <w:rFonts w:ascii="Times New Roman" w:hAnsi="Times New Roman"/>
          <w:b/>
          <w:sz w:val="20"/>
          <w:szCs w:val="20"/>
        </w:rPr>
        <w:t>$1.8 million and 16.2 FTE</w:t>
      </w:r>
      <w:r>
        <w:rPr>
          <w:rFonts w:ascii="Times New Roman" w:hAnsi="Times New Roman"/>
          <w:b/>
          <w:sz w:val="20"/>
          <w:szCs w:val="20"/>
        </w:rPr>
        <w:t xml:space="preserve"> / year</w:t>
      </w:r>
      <w:r>
        <w:rPr>
          <w:rFonts w:ascii="Times New Roman" w:hAnsi="Times New Roman"/>
          <w:sz w:val="20"/>
          <w:szCs w:val="20"/>
        </w:rPr>
        <w:t>. In-kind contributions from BHL member staff</w:t>
      </w:r>
    </w:p>
    <w:p w:rsidR="001414D3" w:rsidRDefault="001414D3" w:rsidP="001414D3">
      <w:pPr>
        <w:pStyle w:val="NoSpacing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$400,000 and </w:t>
      </w:r>
      <w:r w:rsidRPr="000816A7">
        <w:rPr>
          <w:rFonts w:ascii="Times New Roman" w:hAnsi="Times New Roman"/>
          <w:b/>
          <w:sz w:val="20"/>
          <w:szCs w:val="20"/>
        </w:rPr>
        <w:t>5.3 FTE / year</w:t>
      </w:r>
      <w:r>
        <w:rPr>
          <w:rFonts w:ascii="Times New Roman" w:hAnsi="Times New Roman"/>
          <w:sz w:val="20"/>
          <w:szCs w:val="20"/>
        </w:rPr>
        <w:t>. In-kind contributions from Smithsonian Libraries staff (included in above)</w:t>
      </w:r>
    </w:p>
    <w:p w:rsidR="00D92A3A" w:rsidRDefault="00D92A3A" w:rsidP="001414D3">
      <w:pPr>
        <w:pStyle w:val="NoSpacing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~$10,000 (CY 2012). </w:t>
      </w:r>
      <w:r>
        <w:rPr>
          <w:rFonts w:ascii="Times New Roman" w:hAnsi="Times New Roman"/>
          <w:sz w:val="20"/>
          <w:szCs w:val="20"/>
        </w:rPr>
        <w:t>Direct donations from the user community to support BHL</w:t>
      </w:r>
    </w:p>
    <w:p w:rsidR="001414D3" w:rsidRDefault="001414D3" w:rsidP="001414D3">
      <w:pPr>
        <w:pStyle w:val="NoSpacing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Grant support to member institutions; supporting foundations and agencies include: Moore Foundation, Lounsbery Foundation, JRS Foundation, NSF, NEH, IMLS. </w:t>
      </w:r>
      <w:r w:rsidRPr="000816A7">
        <w:rPr>
          <w:rFonts w:ascii="Times New Roman" w:hAnsi="Times New Roman"/>
          <w:b/>
          <w:i/>
          <w:sz w:val="20"/>
          <w:szCs w:val="20"/>
        </w:rPr>
        <w:t>Varies by year.</w:t>
      </w:r>
    </w:p>
    <w:p w:rsidR="001414D3" w:rsidRDefault="001414D3" w:rsidP="001414D3">
      <w:pPr>
        <w:pStyle w:val="NoSpacing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Smithsonian has funded BHL through the Seidell Endowment (~$300,000 / year); Smithsonian Libraries also receives a small Federal allocation for BHL as part of the larger biodiversity support received by the Institution; Harvard’s Museum of Comparative Zoology has also support their participation with approximately this same amount. </w:t>
      </w:r>
      <w:r w:rsidRPr="000816A7">
        <w:rPr>
          <w:rFonts w:ascii="Times New Roman" w:hAnsi="Times New Roman"/>
          <w:b/>
          <w:i/>
          <w:sz w:val="20"/>
          <w:szCs w:val="20"/>
        </w:rPr>
        <w:t>Parent institution support, varies by institution.</w:t>
      </w:r>
    </w:p>
    <w:p w:rsidR="001414D3" w:rsidRDefault="001414D3" w:rsidP="001414D3">
      <w:pPr>
        <w:pStyle w:val="NoSpacing"/>
        <w:rPr>
          <w:rFonts w:ascii="Times New Roman" w:hAnsi="Times New Roman"/>
          <w:sz w:val="20"/>
          <w:szCs w:val="20"/>
        </w:rPr>
      </w:pPr>
    </w:p>
    <w:p w:rsidR="00755E5B" w:rsidRPr="00755E5B" w:rsidRDefault="00D92A3A" w:rsidP="00755E5B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MEMBERSHIP</w:t>
      </w:r>
    </w:p>
    <w:p w:rsidR="003B1721" w:rsidRDefault="003B172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The Biodiversity Heritage Library</w:t>
      </w:r>
      <w:r w:rsidR="007655D8">
        <w:rPr>
          <w:rFonts w:ascii="Times New Roman" w:hAnsi="Times New Roman"/>
          <w:b/>
          <w:sz w:val="20"/>
          <w:szCs w:val="20"/>
        </w:rPr>
        <w:t xml:space="preserve"> (United States / United Kingdom)</w:t>
      </w:r>
    </w:p>
    <w:p w:rsidR="003B1721" w:rsidRDefault="003B1721" w:rsidP="00A87CF0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Academy of Natural Sciences Library and Archives</w:t>
      </w:r>
      <w:r w:rsidR="00A87CF0">
        <w:rPr>
          <w:rFonts w:ascii="Times New Roman" w:hAnsi="Times New Roman"/>
          <w:sz w:val="20"/>
          <w:szCs w:val="20"/>
        </w:rPr>
        <w:t xml:space="preserve"> | </w:t>
      </w:r>
      <w:r>
        <w:rPr>
          <w:rFonts w:ascii="Times New Roman" w:hAnsi="Times New Roman"/>
          <w:sz w:val="20"/>
          <w:szCs w:val="20"/>
        </w:rPr>
        <w:t>American Museum of Natural History Library</w:t>
      </w:r>
      <w:r w:rsidR="00A87CF0">
        <w:rPr>
          <w:rFonts w:ascii="Times New Roman" w:hAnsi="Times New Roman"/>
          <w:sz w:val="20"/>
          <w:szCs w:val="20"/>
        </w:rPr>
        <w:t xml:space="preserve"> | </w:t>
      </w:r>
      <w:r>
        <w:rPr>
          <w:rFonts w:ascii="Times New Roman" w:hAnsi="Times New Roman"/>
          <w:sz w:val="20"/>
          <w:szCs w:val="20"/>
        </w:rPr>
        <w:t>California Academy of Sciences Library</w:t>
      </w:r>
      <w:r w:rsidR="00A87CF0">
        <w:rPr>
          <w:rFonts w:ascii="Times New Roman" w:hAnsi="Times New Roman"/>
          <w:sz w:val="20"/>
          <w:szCs w:val="20"/>
        </w:rPr>
        <w:t xml:space="preserve"> | </w:t>
      </w:r>
      <w:r>
        <w:rPr>
          <w:rFonts w:ascii="Times New Roman" w:hAnsi="Times New Roman"/>
          <w:sz w:val="20"/>
          <w:szCs w:val="20"/>
        </w:rPr>
        <w:t>Cornell University Library</w:t>
      </w:r>
      <w:r w:rsidR="00A87CF0">
        <w:rPr>
          <w:rFonts w:ascii="Times New Roman" w:hAnsi="Times New Roman"/>
          <w:sz w:val="20"/>
          <w:szCs w:val="20"/>
        </w:rPr>
        <w:t xml:space="preserve"> | </w:t>
      </w:r>
      <w:r>
        <w:rPr>
          <w:rFonts w:ascii="Times New Roman" w:hAnsi="Times New Roman"/>
          <w:sz w:val="20"/>
          <w:szCs w:val="20"/>
        </w:rPr>
        <w:t>The Field Museum Library</w:t>
      </w:r>
      <w:r w:rsidR="00A87CF0">
        <w:rPr>
          <w:rFonts w:ascii="Times New Roman" w:hAnsi="Times New Roman"/>
          <w:sz w:val="20"/>
          <w:szCs w:val="20"/>
        </w:rPr>
        <w:t xml:space="preserve"> | </w:t>
      </w:r>
      <w:r>
        <w:rPr>
          <w:rFonts w:ascii="Times New Roman" w:hAnsi="Times New Roman"/>
          <w:sz w:val="20"/>
          <w:szCs w:val="20"/>
        </w:rPr>
        <w:t>Harvard University Botany Libraries</w:t>
      </w:r>
      <w:r w:rsidR="00A87CF0">
        <w:rPr>
          <w:rFonts w:ascii="Times New Roman" w:hAnsi="Times New Roman"/>
          <w:sz w:val="20"/>
          <w:szCs w:val="20"/>
        </w:rPr>
        <w:t xml:space="preserve"> | </w:t>
      </w:r>
      <w:r>
        <w:rPr>
          <w:rFonts w:ascii="Times New Roman" w:hAnsi="Times New Roman"/>
          <w:sz w:val="20"/>
          <w:szCs w:val="20"/>
        </w:rPr>
        <w:t>Ernst Mayr Library of the Museum of Comparative Zoology</w:t>
      </w:r>
      <w:r w:rsidR="00A87CF0">
        <w:rPr>
          <w:rFonts w:ascii="Times New Roman" w:hAnsi="Times New Roman"/>
          <w:sz w:val="20"/>
          <w:szCs w:val="20"/>
        </w:rPr>
        <w:t xml:space="preserve"> | </w:t>
      </w:r>
      <w:r>
        <w:rPr>
          <w:rFonts w:ascii="Times New Roman" w:hAnsi="Times New Roman"/>
          <w:sz w:val="20"/>
          <w:szCs w:val="20"/>
        </w:rPr>
        <w:t>Marine Biological Laboratory and Woods Hole Oceanographic Institution Library</w:t>
      </w:r>
      <w:r w:rsidR="00A87CF0">
        <w:rPr>
          <w:rFonts w:ascii="Times New Roman" w:hAnsi="Times New Roman"/>
          <w:sz w:val="20"/>
          <w:szCs w:val="20"/>
        </w:rPr>
        <w:t xml:space="preserve"> | </w:t>
      </w:r>
      <w:r>
        <w:rPr>
          <w:rFonts w:ascii="Times New Roman" w:hAnsi="Times New Roman"/>
          <w:sz w:val="20"/>
          <w:szCs w:val="20"/>
        </w:rPr>
        <w:t>Missouri Botanical Garden Library</w:t>
      </w:r>
      <w:r w:rsidR="00A87CF0">
        <w:rPr>
          <w:rFonts w:ascii="Times New Roman" w:hAnsi="Times New Roman"/>
          <w:sz w:val="20"/>
          <w:szCs w:val="20"/>
        </w:rPr>
        <w:t xml:space="preserve"> | </w:t>
      </w:r>
      <w:r>
        <w:rPr>
          <w:rFonts w:ascii="Times New Roman" w:hAnsi="Times New Roman"/>
          <w:sz w:val="20"/>
          <w:szCs w:val="20"/>
        </w:rPr>
        <w:t>Natural History Museum, London, Library &amp; Archives</w:t>
      </w:r>
      <w:r w:rsidR="00A87CF0">
        <w:rPr>
          <w:rFonts w:ascii="Times New Roman" w:hAnsi="Times New Roman"/>
          <w:sz w:val="20"/>
          <w:szCs w:val="20"/>
        </w:rPr>
        <w:t xml:space="preserve"> | </w:t>
      </w:r>
      <w:r>
        <w:rPr>
          <w:rFonts w:ascii="Times New Roman" w:hAnsi="Times New Roman"/>
          <w:sz w:val="20"/>
          <w:szCs w:val="20"/>
        </w:rPr>
        <w:t>The New York Botanical Garden, The LuEsther T. Mertz Library</w:t>
      </w:r>
      <w:r w:rsidR="00A87CF0">
        <w:rPr>
          <w:rFonts w:ascii="Times New Roman" w:hAnsi="Times New Roman"/>
          <w:sz w:val="20"/>
          <w:szCs w:val="20"/>
        </w:rPr>
        <w:t xml:space="preserve"> | </w:t>
      </w:r>
      <w:r>
        <w:rPr>
          <w:rFonts w:ascii="Times New Roman" w:hAnsi="Times New Roman"/>
          <w:sz w:val="20"/>
          <w:szCs w:val="20"/>
        </w:rPr>
        <w:t>Royal Botanic Garden, Kew, Library &amp; Archives</w:t>
      </w:r>
      <w:r w:rsidR="00A87CF0">
        <w:rPr>
          <w:rFonts w:ascii="Times New Roman" w:hAnsi="Times New Roman"/>
          <w:sz w:val="20"/>
          <w:szCs w:val="20"/>
        </w:rPr>
        <w:t xml:space="preserve"> | </w:t>
      </w:r>
      <w:r>
        <w:rPr>
          <w:rFonts w:ascii="Times New Roman" w:hAnsi="Times New Roman"/>
          <w:sz w:val="20"/>
          <w:szCs w:val="20"/>
        </w:rPr>
        <w:t>Smithsonian Institution Libraries</w:t>
      </w:r>
      <w:r w:rsidR="00A87CF0">
        <w:rPr>
          <w:rFonts w:ascii="Times New Roman" w:hAnsi="Times New Roman"/>
          <w:sz w:val="20"/>
          <w:szCs w:val="20"/>
        </w:rPr>
        <w:t xml:space="preserve"> | </w:t>
      </w:r>
      <w:r>
        <w:rPr>
          <w:rFonts w:ascii="Times New Roman" w:hAnsi="Times New Roman"/>
          <w:sz w:val="20"/>
          <w:szCs w:val="20"/>
        </w:rPr>
        <w:t>United States Geological Survey Libraries</w:t>
      </w:r>
    </w:p>
    <w:p w:rsidR="003B1721" w:rsidRDefault="003B1721">
      <w:pPr>
        <w:pStyle w:val="NoSpacing"/>
        <w:rPr>
          <w:rFonts w:ascii="Times New Roman" w:hAnsi="Times New Roman"/>
          <w:sz w:val="20"/>
          <w:szCs w:val="20"/>
        </w:rPr>
      </w:pPr>
    </w:p>
    <w:p w:rsidR="003B1721" w:rsidRDefault="003B172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Global and Regional Nodes</w:t>
      </w:r>
    </w:p>
    <w:p w:rsidR="003B1721" w:rsidRDefault="003B172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BHL Europe</w:t>
      </w:r>
      <w:r w:rsidR="007655D8">
        <w:rPr>
          <w:rFonts w:ascii="Times New Roman" w:hAnsi="Times New Roman"/>
          <w:sz w:val="20"/>
          <w:szCs w:val="20"/>
        </w:rPr>
        <w:t xml:space="preserve"> | </w:t>
      </w:r>
      <w:r>
        <w:rPr>
          <w:rFonts w:ascii="Times New Roman" w:hAnsi="Times New Roman"/>
          <w:sz w:val="20"/>
          <w:szCs w:val="20"/>
        </w:rPr>
        <w:t>BHL China</w:t>
      </w:r>
      <w:r w:rsidR="007655D8">
        <w:rPr>
          <w:rFonts w:ascii="Times New Roman" w:hAnsi="Times New Roman"/>
          <w:sz w:val="20"/>
          <w:szCs w:val="20"/>
        </w:rPr>
        <w:t xml:space="preserve"> | </w:t>
      </w:r>
      <w:r>
        <w:rPr>
          <w:rFonts w:ascii="Times New Roman" w:hAnsi="Times New Roman"/>
          <w:sz w:val="20"/>
          <w:szCs w:val="20"/>
        </w:rPr>
        <w:t>BHL Egypt</w:t>
      </w:r>
      <w:r w:rsidR="007655D8">
        <w:rPr>
          <w:rFonts w:ascii="Times New Roman" w:hAnsi="Times New Roman"/>
          <w:sz w:val="20"/>
          <w:szCs w:val="20"/>
        </w:rPr>
        <w:t xml:space="preserve"> | </w:t>
      </w:r>
      <w:r>
        <w:rPr>
          <w:rFonts w:ascii="Times New Roman" w:hAnsi="Times New Roman"/>
          <w:sz w:val="20"/>
          <w:szCs w:val="20"/>
        </w:rPr>
        <w:t>BHL SciELO (Brasil)</w:t>
      </w:r>
      <w:r w:rsidR="007655D8">
        <w:rPr>
          <w:rFonts w:ascii="Times New Roman" w:hAnsi="Times New Roman"/>
          <w:sz w:val="20"/>
          <w:szCs w:val="20"/>
        </w:rPr>
        <w:t xml:space="preserve"> | </w:t>
      </w:r>
      <w:r>
        <w:rPr>
          <w:rFonts w:ascii="Times New Roman" w:hAnsi="Times New Roman"/>
          <w:sz w:val="20"/>
          <w:szCs w:val="20"/>
        </w:rPr>
        <w:t>BHL Australia</w:t>
      </w:r>
      <w:r w:rsidR="007655D8">
        <w:rPr>
          <w:rFonts w:ascii="Times New Roman" w:hAnsi="Times New Roman"/>
          <w:sz w:val="20"/>
          <w:szCs w:val="20"/>
        </w:rPr>
        <w:t xml:space="preserve"> | </w:t>
      </w:r>
      <w:r>
        <w:rPr>
          <w:rFonts w:ascii="Times New Roman" w:hAnsi="Times New Roman"/>
          <w:sz w:val="20"/>
          <w:szCs w:val="20"/>
        </w:rPr>
        <w:t xml:space="preserve">BHL Africa </w:t>
      </w:r>
    </w:p>
    <w:sectPr w:rsidR="003B1721" w:rsidSect="00D92A3A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1F9C577A"/>
    <w:multiLevelType w:val="hybridMultilevel"/>
    <w:tmpl w:val="47028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A4807"/>
    <w:multiLevelType w:val="hybridMultilevel"/>
    <w:tmpl w:val="0B228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A6331"/>
    <w:multiLevelType w:val="hybridMultilevel"/>
    <w:tmpl w:val="3B9E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65077"/>
    <w:multiLevelType w:val="hybridMultilevel"/>
    <w:tmpl w:val="5EAE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072759"/>
    <w:multiLevelType w:val="hybridMultilevel"/>
    <w:tmpl w:val="94889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A0940"/>
    <w:rsid w:val="000816A7"/>
    <w:rsid w:val="001414D3"/>
    <w:rsid w:val="003B1721"/>
    <w:rsid w:val="00755E5B"/>
    <w:rsid w:val="007655D8"/>
    <w:rsid w:val="008D2A46"/>
    <w:rsid w:val="00A87CF0"/>
    <w:rsid w:val="00D92A3A"/>
    <w:rsid w:val="00EA0940"/>
    <w:rsid w:val="00EA2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Heading4">
    <w:name w:val="heading 4"/>
    <w:basedOn w:val="Normal"/>
    <w:next w:val="Normal"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Heading5">
    <w:name w:val="heading 5"/>
    <w:basedOn w:val="Normal"/>
    <w:next w:val="Normal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16505E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styleId="DefaultParagraphFont0">
    <w:name w:val="Default Paragraph Font"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itleChar">
    <w:name w:val="Title Char"/>
    <w:rPr>
      <w:rFonts w:ascii="Cambria" w:eastAsia="Times New Roman" w:hAnsi="Cambria" w:cs="Times New Roman"/>
      <w:color w:val="343434"/>
      <w:spacing w:val="5"/>
      <w:kern w:val="1"/>
      <w:sz w:val="52"/>
      <w:szCs w:val="52"/>
    </w:rPr>
  </w:style>
  <w:style w:type="character" w:customStyle="1" w:styleId="SubtitleChar">
    <w:name w:val="Subtitle Char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QuoteChar">
    <w:name w:val="Quote Char"/>
    <w:rPr>
      <w:i/>
      <w:iCs/>
      <w:color w:val="000000"/>
    </w:rPr>
  </w:style>
  <w:style w:type="character" w:customStyle="1" w:styleId="IntenseQuoteChar">
    <w:name w:val="Intense Quote Char"/>
    <w:rPr>
      <w:b/>
      <w:bCs/>
      <w:i/>
      <w:iCs/>
      <w:color w:val="2DA2BF"/>
    </w:rPr>
  </w:style>
  <w:style w:type="character" w:styleId="SubtleEmphasis">
    <w:name w:val="Subtle Emphasis"/>
    <w:qFormat/>
    <w:rPr>
      <w:i/>
      <w:iCs/>
      <w:color w:val="808080"/>
    </w:rPr>
  </w:style>
  <w:style w:type="character" w:styleId="IntenseEmphasis">
    <w:name w:val="Intense Emphasis"/>
    <w:qFormat/>
    <w:rPr>
      <w:b/>
      <w:bCs/>
      <w:i/>
      <w:iCs/>
      <w:color w:val="2DA2BF"/>
    </w:rPr>
  </w:style>
  <w:style w:type="character" w:styleId="SubtleReference">
    <w:name w:val="Subtle Reference"/>
    <w:qFormat/>
    <w:rPr>
      <w:smallCaps/>
      <w:color w:val="DA1F28"/>
      <w:u w:val="single"/>
    </w:rPr>
  </w:style>
  <w:style w:type="character" w:styleId="IntenseReference">
    <w:name w:val="Intense Reference"/>
    <w:qFormat/>
    <w:rPr>
      <w:b/>
      <w:bCs/>
      <w:smallCaps/>
      <w:color w:val="DA1F28"/>
      <w:spacing w:val="5"/>
      <w:u w:val="single"/>
    </w:rPr>
  </w:style>
  <w:style w:type="character" w:styleId="BookTitle">
    <w:name w:val="Book Title"/>
    <w:qFormat/>
    <w:rPr>
      <w:b/>
      <w:bCs/>
      <w:smallCaps/>
      <w:spacing w:val="5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spacing w:line="240" w:lineRule="auto"/>
    </w:pPr>
    <w:rPr>
      <w:b/>
      <w:bCs/>
      <w:color w:val="2DA2BF"/>
      <w:sz w:val="18"/>
      <w:szCs w:val="18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Normal"/>
    <w:qFormat/>
    <w:pPr>
      <w:pBdr>
        <w:bottom w:val="single" w:sz="8" w:space="4" w:color="000000"/>
      </w:pBdr>
      <w:spacing w:after="300" w:line="240" w:lineRule="auto"/>
    </w:pPr>
    <w:rPr>
      <w:rFonts w:ascii="Cambria" w:hAnsi="Cambria"/>
      <w:color w:val="343434"/>
      <w:spacing w:val="5"/>
      <w:kern w:val="1"/>
      <w:sz w:val="52"/>
      <w:szCs w:val="52"/>
    </w:rPr>
  </w:style>
  <w:style w:type="paragraph" w:styleId="Subtitle">
    <w:name w:val="Subtitle"/>
    <w:basedOn w:val="Normal"/>
    <w:next w:val="Normal"/>
    <w:qFormat/>
    <w:rPr>
      <w:rFonts w:ascii="Cambria" w:hAnsi="Cambria"/>
      <w:i/>
      <w:iCs/>
      <w:color w:val="2DA2BF"/>
      <w:spacing w:val="15"/>
      <w:sz w:val="24"/>
      <w:szCs w:val="24"/>
    </w:rPr>
  </w:style>
  <w:style w:type="paragraph" w:styleId="NoSpacing">
    <w:name w:val="No Spacing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Quote">
    <w:name w:val="Quote"/>
    <w:basedOn w:val="Normal"/>
    <w:next w:val="Normal"/>
    <w:qFormat/>
    <w:rPr>
      <w:i/>
      <w:iCs/>
      <w:color w:val="000000"/>
    </w:rPr>
  </w:style>
  <w:style w:type="paragraph" w:styleId="IntenseQuote">
    <w:name w:val="Intense Quote"/>
    <w:basedOn w:val="Normal"/>
    <w:next w:val="Normal"/>
    <w:qFormat/>
    <w:pPr>
      <w:pBdr>
        <w:bottom w:val="single" w:sz="4" w:space="4" w:color="000000"/>
      </w:pBdr>
      <w:spacing w:before="200" w:after="280"/>
      <w:ind w:left="936" w:right="936"/>
    </w:pPr>
    <w:rPr>
      <w:b/>
      <w:bCs/>
      <w:i/>
      <w:iCs/>
      <w:color w:val="2DA2BF"/>
    </w:rPr>
  </w:style>
  <w:style w:type="paragraph" w:styleId="TOCHeading">
    <w:name w:val="TOC Heading"/>
    <w:basedOn w:val="Heading1"/>
    <w:next w:val="Normal"/>
    <w:qFormat/>
    <w:pPr>
      <w:numPr>
        <w:numId w:val="0"/>
      </w:num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Smithsonian Institution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kalfatovicm</dc:creator>
  <cp:keywords/>
  <cp:lastModifiedBy>SI User</cp:lastModifiedBy>
  <cp:revision>2</cp:revision>
  <cp:lastPrinted>1601-01-01T00:00:00Z</cp:lastPrinted>
  <dcterms:created xsi:type="dcterms:W3CDTF">2013-01-15T17:51:00Z</dcterms:created>
  <dcterms:modified xsi:type="dcterms:W3CDTF">2013-01-15T17:51:00Z</dcterms:modified>
</cp:coreProperties>
</file>